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28" w:rsidRDefault="00391728" w:rsidP="00391728">
      <w:pPr>
        <w:pStyle w:val="1"/>
      </w:pPr>
      <w:r>
        <w:t>( 503-17-3 )2-丁炔的理化及危险特性表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39172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标</w:t>
            </w:r>
          </w:p>
          <w:p w:rsidR="00391728" w:rsidRDefault="00391728" w:rsidP="0090435F">
            <w:pPr>
              <w:spacing w:line="26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中文名:</w:t>
            </w:r>
            <w:r>
              <w:rPr>
                <w:rFonts w:ascii="宋体" w:hAnsi="宋体" w:hint="eastAsia"/>
                <w:szCs w:val="18"/>
              </w:rPr>
              <w:t xml:space="preserve"> 2-丁炔；巴豆炔</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英文名:</w:t>
            </w:r>
            <w:r>
              <w:rPr>
                <w:rFonts w:ascii="宋体" w:hAnsi="宋体" w:hint="eastAsia"/>
                <w:szCs w:val="18"/>
              </w:rPr>
              <w:t xml:space="preserve"> 2-butyne </w:t>
            </w:r>
            <w:r>
              <w:rPr>
                <w:rFonts w:ascii="宋体" w:hAnsi="宋体" w:hint="eastAsia"/>
                <w:szCs w:val="18"/>
                <w:lang w:val="en-GB"/>
              </w:rPr>
              <w:t>；</w:t>
            </w:r>
            <w:r>
              <w:rPr>
                <w:rFonts w:ascii="宋体" w:hAnsi="宋体" w:hint="eastAsia"/>
                <w:szCs w:val="18"/>
              </w:rPr>
              <w:t>crotonylene  </w:t>
            </w:r>
          </w:p>
        </w:tc>
      </w:tr>
      <w:tr w:rsidR="00391728" w:rsidTr="0090435F">
        <w:trPr>
          <w:cantSplit/>
          <w:jc w:val="center"/>
        </w:trPr>
        <w:tc>
          <w:tcPr>
            <w:tcW w:w="489" w:type="dxa"/>
            <w:vMerge/>
            <w:tcBorders>
              <w:left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6</w:t>
            </w:r>
          </w:p>
        </w:tc>
        <w:tc>
          <w:tcPr>
            <w:tcW w:w="2696"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color w:val="FF6600"/>
              </w:rPr>
            </w:pPr>
            <w:r>
              <w:rPr>
                <w:rFonts w:ascii="宋体" w:hAnsi="宋体" w:hint="eastAsia"/>
              </w:rPr>
              <w:t>分子量：54.09</w:t>
            </w:r>
          </w:p>
        </w:tc>
        <w:tc>
          <w:tcPr>
            <w:tcW w:w="2170"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UN编号：1144</w:t>
            </w:r>
          </w:p>
        </w:tc>
      </w:tr>
      <w:tr w:rsidR="00391728" w:rsidTr="0090435F">
        <w:trPr>
          <w:cantSplit/>
          <w:jc w:val="center"/>
        </w:trPr>
        <w:tc>
          <w:tcPr>
            <w:tcW w:w="489" w:type="dxa"/>
            <w:vMerge/>
            <w:tcBorders>
              <w:left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危规号： 31017</w:t>
            </w:r>
          </w:p>
        </w:tc>
        <w:tc>
          <w:tcPr>
            <w:tcW w:w="2170"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CAS号：</w:t>
            </w:r>
            <w:r>
              <w:rPr>
                <w:rFonts w:ascii="宋体" w:hAnsi="宋体" w:hint="eastAsia"/>
                <w:szCs w:val="18"/>
              </w:rPr>
              <w:t xml:space="preserve"> 503-17-3 </w:t>
            </w:r>
          </w:p>
        </w:tc>
      </w:tr>
      <w:tr w:rsidR="00391728" w:rsidTr="0090435F">
        <w:trPr>
          <w:cantSplit/>
          <w:jc w:val="center"/>
        </w:trPr>
        <w:tc>
          <w:tcPr>
            <w:tcW w:w="489" w:type="dxa"/>
            <w:vMerge/>
            <w:tcBorders>
              <w:left w:val="single" w:sz="4" w:space="0" w:color="auto"/>
              <w:bottom w:val="nil"/>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包装标志： 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 xml:space="preserve">包装类别：Ⅰ类 </w:t>
            </w:r>
          </w:p>
        </w:tc>
      </w:tr>
      <w:tr w:rsidR="0039172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理</w:t>
            </w:r>
          </w:p>
          <w:p w:rsidR="00391728" w:rsidRDefault="00391728" w:rsidP="0090435F">
            <w:pPr>
              <w:spacing w:line="266" w:lineRule="exact"/>
              <w:jc w:val="center"/>
              <w:rPr>
                <w:rFonts w:ascii="宋体" w:hAnsi="宋体"/>
              </w:rPr>
            </w:pPr>
            <w:r>
              <w:rPr>
                <w:rFonts w:ascii="宋体" w:hAnsi="宋体" w:hint="eastAsia"/>
              </w:rPr>
              <w:t>化</w:t>
            </w:r>
          </w:p>
          <w:p w:rsidR="00391728" w:rsidRDefault="00391728" w:rsidP="0090435F">
            <w:pPr>
              <w:spacing w:line="266" w:lineRule="exact"/>
              <w:jc w:val="center"/>
              <w:rPr>
                <w:rFonts w:ascii="宋体" w:hAnsi="宋体"/>
              </w:rPr>
            </w:pPr>
            <w:r>
              <w:rPr>
                <w:rFonts w:ascii="宋体" w:hAnsi="宋体" w:hint="eastAsia"/>
              </w:rPr>
              <w:t>性</w:t>
            </w:r>
          </w:p>
          <w:p w:rsidR="00391728" w:rsidRDefault="00391728"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外观与性状：</w:t>
            </w:r>
            <w:r>
              <w:rPr>
                <w:rFonts w:ascii="宋体" w:hAnsi="宋体" w:hint="eastAsia"/>
                <w:szCs w:val="18"/>
              </w:rPr>
              <w:t>无色液体。</w:t>
            </w:r>
          </w:p>
        </w:tc>
      </w:tr>
      <w:tr w:rsidR="003917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溶解性 ：</w:t>
            </w:r>
            <w:r>
              <w:rPr>
                <w:rFonts w:ascii="宋体" w:hAnsi="宋体" w:hint="eastAsia"/>
                <w:szCs w:val="18"/>
              </w:rPr>
              <w:t>不溶于水，溶于醚。</w:t>
            </w:r>
          </w:p>
        </w:tc>
      </w:tr>
      <w:tr w:rsidR="003917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熔点（℃）：</w:t>
            </w:r>
            <w:r>
              <w:rPr>
                <w:rFonts w:ascii="宋体" w:hAnsi="宋体" w:hint="eastAsia"/>
                <w:szCs w:val="18"/>
              </w:rPr>
              <w:t>-32.2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沸点（℃）：</w:t>
            </w:r>
            <w:r>
              <w:rPr>
                <w:rFonts w:ascii="宋体" w:hAnsi="宋体" w:hint="eastAsia"/>
                <w:szCs w:val="18"/>
              </w:rPr>
              <w:t>27</w:t>
            </w:r>
          </w:p>
        </w:tc>
      </w:tr>
      <w:tr w:rsidR="003917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相对密度（水＝1）：</w:t>
            </w:r>
            <w:r>
              <w:rPr>
                <w:rFonts w:ascii="宋体" w:hAnsi="宋体" w:hint="eastAsia"/>
                <w:szCs w:val="18"/>
              </w:rPr>
              <w:t>0.69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相对密度（空气＝1）：</w:t>
            </w:r>
            <w:r>
              <w:rPr>
                <w:rFonts w:ascii="宋体" w:hAnsi="宋体" w:hint="eastAsia"/>
                <w:szCs w:val="18"/>
              </w:rPr>
              <w:t>1.91</w:t>
            </w:r>
          </w:p>
        </w:tc>
      </w:tr>
      <w:tr w:rsidR="0039172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燃烧热（kJ/mol）：</w:t>
            </w:r>
            <w:r>
              <w:rPr>
                <w:rFonts w:ascii="宋体" w:hAnsi="宋体" w:hint="eastAsia"/>
                <w:szCs w:val="18"/>
              </w:rPr>
              <w:t>无资料</w:t>
            </w:r>
          </w:p>
        </w:tc>
      </w:tr>
      <w:tr w:rsidR="0039172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临界压力（MPa）：</w:t>
            </w:r>
          </w:p>
        </w:tc>
      </w:tr>
      <w:tr w:rsidR="0039172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燃</w:t>
            </w:r>
          </w:p>
          <w:p w:rsidR="00391728" w:rsidRDefault="00391728" w:rsidP="0090435F">
            <w:pPr>
              <w:spacing w:line="266" w:lineRule="exact"/>
              <w:jc w:val="center"/>
              <w:rPr>
                <w:rFonts w:ascii="宋体" w:hAnsi="宋体"/>
              </w:rPr>
            </w:pPr>
            <w:r>
              <w:rPr>
                <w:rFonts w:ascii="宋体" w:hAnsi="宋体" w:hint="eastAsia"/>
              </w:rPr>
              <w:t>烧</w:t>
            </w:r>
          </w:p>
          <w:p w:rsidR="00391728" w:rsidRDefault="00391728" w:rsidP="0090435F">
            <w:pPr>
              <w:spacing w:line="266" w:lineRule="exact"/>
              <w:jc w:val="center"/>
              <w:rPr>
                <w:rFonts w:ascii="宋体" w:hAnsi="宋体"/>
              </w:rPr>
            </w:pPr>
            <w:r>
              <w:rPr>
                <w:rFonts w:ascii="宋体" w:hAnsi="宋体" w:hint="eastAsia"/>
              </w:rPr>
              <w:t>爆</w:t>
            </w:r>
          </w:p>
          <w:p w:rsidR="00391728" w:rsidRDefault="00391728" w:rsidP="0090435F">
            <w:pPr>
              <w:spacing w:line="266" w:lineRule="exact"/>
              <w:jc w:val="center"/>
              <w:rPr>
                <w:rFonts w:ascii="宋体" w:hAnsi="宋体"/>
              </w:rPr>
            </w:pPr>
            <w:r>
              <w:rPr>
                <w:rFonts w:ascii="宋体" w:hAnsi="宋体" w:hint="eastAsia"/>
              </w:rPr>
              <w:t>炸</w:t>
            </w:r>
          </w:p>
          <w:p w:rsidR="00391728" w:rsidRDefault="00391728" w:rsidP="0090435F">
            <w:pPr>
              <w:spacing w:line="266" w:lineRule="exact"/>
              <w:jc w:val="center"/>
              <w:rPr>
                <w:rFonts w:ascii="宋体" w:hAnsi="宋体"/>
              </w:rPr>
            </w:pPr>
            <w:r>
              <w:rPr>
                <w:rFonts w:ascii="宋体" w:hAnsi="宋体" w:hint="eastAsia"/>
              </w:rPr>
              <w:t>危</w:t>
            </w:r>
          </w:p>
          <w:p w:rsidR="00391728" w:rsidRDefault="00391728" w:rsidP="0090435F">
            <w:pPr>
              <w:spacing w:line="266" w:lineRule="exact"/>
              <w:jc w:val="center"/>
              <w:rPr>
                <w:rFonts w:ascii="宋体" w:hAnsi="宋体"/>
              </w:rPr>
            </w:pPr>
            <w:r>
              <w:rPr>
                <w:rFonts w:ascii="宋体" w:hAnsi="宋体" w:hint="eastAsia"/>
              </w:rPr>
              <w:t>险</w:t>
            </w:r>
          </w:p>
          <w:p w:rsidR="00391728" w:rsidRDefault="00391728" w:rsidP="0090435F">
            <w:pPr>
              <w:spacing w:line="26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闪点（℃）： ＜-20</w:t>
            </w:r>
          </w:p>
        </w:tc>
      </w:tr>
      <w:tr w:rsidR="00391728" w:rsidTr="0090435F">
        <w:trPr>
          <w:cantSplit/>
          <w:jc w:val="center"/>
        </w:trPr>
        <w:tc>
          <w:tcPr>
            <w:tcW w:w="489" w:type="dxa"/>
            <w:vMerge/>
            <w:tcBorders>
              <w:top w:val="single" w:sz="4" w:space="0" w:color="auto"/>
              <w:left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1.4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爆炸上限（%）：</w:t>
            </w:r>
            <w:r>
              <w:rPr>
                <w:rFonts w:ascii="宋体" w:hAnsi="宋体" w:hint="eastAsia"/>
                <w:szCs w:val="18"/>
              </w:rPr>
              <w:t>无资料</w:t>
            </w:r>
          </w:p>
        </w:tc>
      </w:tr>
      <w:tr w:rsidR="00391728" w:rsidTr="0090435F">
        <w:trPr>
          <w:cantSplit/>
          <w:jc w:val="center"/>
        </w:trPr>
        <w:tc>
          <w:tcPr>
            <w:tcW w:w="489" w:type="dxa"/>
            <w:vMerge/>
            <w:tcBorders>
              <w:top w:val="single" w:sz="4" w:space="0" w:color="auto"/>
              <w:left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最小点火能（mJ）：</w:t>
            </w:r>
            <w:r>
              <w:rPr>
                <w:rFonts w:ascii="宋体" w:hAnsi="宋体" w:hint="eastAsia"/>
                <w:szCs w:val="18"/>
              </w:rPr>
              <w:t>无资料</w:t>
            </w:r>
          </w:p>
        </w:tc>
      </w:tr>
      <w:tr w:rsidR="00391728" w:rsidTr="0090435F">
        <w:trPr>
          <w:cantSplit/>
          <w:jc w:val="center"/>
        </w:trPr>
        <w:tc>
          <w:tcPr>
            <w:tcW w:w="489" w:type="dxa"/>
            <w:vMerge/>
            <w:tcBorders>
              <w:left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 xml:space="preserve">稳定性：稳定 </w:t>
            </w:r>
          </w:p>
        </w:tc>
      </w:tr>
      <w:tr w:rsidR="00391728" w:rsidTr="0090435F">
        <w:trPr>
          <w:cantSplit/>
          <w:jc w:val="center"/>
        </w:trPr>
        <w:tc>
          <w:tcPr>
            <w:tcW w:w="489" w:type="dxa"/>
            <w:vMerge/>
            <w:tcBorders>
              <w:left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 xml:space="preserve">聚合危害：聚合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391728" w:rsidTr="0090435F">
        <w:trPr>
          <w:cantSplit/>
          <w:jc w:val="center"/>
        </w:trPr>
        <w:tc>
          <w:tcPr>
            <w:tcW w:w="489" w:type="dxa"/>
            <w:vMerge/>
            <w:tcBorders>
              <w:left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强氧化剂、强酸。</w:t>
            </w:r>
          </w:p>
        </w:tc>
      </w:tr>
      <w:tr w:rsidR="00391728" w:rsidTr="0090435F">
        <w:trPr>
          <w:cantSplit/>
          <w:jc w:val="center"/>
        </w:trPr>
        <w:tc>
          <w:tcPr>
            <w:tcW w:w="489" w:type="dxa"/>
            <w:vMerge/>
            <w:tcBorders>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极易燃，其蒸气与空气可形成爆炸性混合物，遇热源和明火有燃烧爆炸的危险。与氧化剂能发生强烈反应, 引起燃烧或爆炸。若遇高热，可发生聚合反应，放出大量热量而引起容器破裂和爆炸事故。其蒸气比空气重，能在较低处扩散到相当远的地方，遇火源会着火回燃。</w:t>
            </w:r>
          </w:p>
        </w:tc>
      </w:tr>
      <w:tr w:rsidR="00391728" w:rsidTr="0090435F">
        <w:trPr>
          <w:cantSplit/>
          <w:jc w:val="center"/>
        </w:trPr>
        <w:tc>
          <w:tcPr>
            <w:tcW w:w="489" w:type="dxa"/>
            <w:vMerge/>
            <w:tcBorders>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3917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毒</w:t>
            </w:r>
          </w:p>
          <w:p w:rsidR="00391728" w:rsidRDefault="00391728"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391728" w:rsidRDefault="00391728"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39172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侵入途经：吸入、食入、经皮吸收。</w:t>
            </w:r>
          </w:p>
        </w:tc>
      </w:tr>
      <w:tr w:rsidR="0039172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szCs w:val="18"/>
              </w:rPr>
              <w:t>吸入、口服或经皮吸收，对机体可能产生危害。有刺激性。 </w:t>
            </w:r>
          </w:p>
        </w:tc>
      </w:tr>
      <w:tr w:rsidR="00391728" w:rsidTr="0090435F">
        <w:trPr>
          <w:cantSplit/>
          <w:jc w:val="center"/>
        </w:trPr>
        <w:tc>
          <w:tcPr>
            <w:tcW w:w="489" w:type="dxa"/>
            <w:tcBorders>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急</w:t>
            </w:r>
          </w:p>
          <w:p w:rsidR="00391728" w:rsidRDefault="00391728"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※吸入：脱离现场至空气新鲜处。如呼吸困难，给输氧。就医。   ※食入：饮足量温水，催吐。就医。</w:t>
            </w:r>
          </w:p>
        </w:tc>
      </w:tr>
      <w:tr w:rsidR="003917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防</w:t>
            </w:r>
          </w:p>
          <w:p w:rsidR="00391728" w:rsidRDefault="00391728"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一般不需要特殊防护，高浓度接触时可佩戴自吸过滤式防毒面具（半面罩）。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39172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泄</w:t>
            </w:r>
          </w:p>
          <w:p w:rsidR="00391728" w:rsidRDefault="00391728" w:rsidP="0090435F">
            <w:pPr>
              <w:spacing w:line="266" w:lineRule="exact"/>
              <w:jc w:val="center"/>
              <w:rPr>
                <w:rFonts w:ascii="宋体" w:hAnsi="宋体"/>
              </w:rPr>
            </w:pPr>
            <w:r>
              <w:rPr>
                <w:rFonts w:ascii="宋体" w:hAnsi="宋体" w:hint="eastAsia"/>
              </w:rPr>
              <w:t>漏</w:t>
            </w:r>
          </w:p>
          <w:p w:rsidR="00391728" w:rsidRDefault="00391728" w:rsidP="0090435F">
            <w:pPr>
              <w:spacing w:line="266" w:lineRule="exact"/>
              <w:jc w:val="center"/>
              <w:rPr>
                <w:rFonts w:ascii="宋体" w:hAnsi="宋体"/>
              </w:rPr>
            </w:pPr>
            <w:r>
              <w:rPr>
                <w:rFonts w:ascii="宋体" w:hAnsi="宋体" w:hint="eastAsia"/>
              </w:rPr>
              <w:t>处</w:t>
            </w:r>
          </w:p>
          <w:p w:rsidR="00391728" w:rsidRDefault="00391728"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91728" w:rsidRDefault="00391728"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391728" w:rsidTr="0090435F">
        <w:trPr>
          <w:cantSplit/>
          <w:jc w:val="center"/>
        </w:trPr>
        <w:tc>
          <w:tcPr>
            <w:tcW w:w="489" w:type="dxa"/>
            <w:tcBorders>
              <w:top w:val="single" w:sz="4" w:space="0" w:color="auto"/>
              <w:left w:val="single" w:sz="4" w:space="0" w:color="auto"/>
              <w:right w:val="single" w:sz="4" w:space="0" w:color="auto"/>
            </w:tcBorders>
            <w:vAlign w:val="center"/>
          </w:tcPr>
          <w:p w:rsidR="00391728" w:rsidRDefault="00391728" w:rsidP="0090435F">
            <w:pPr>
              <w:spacing w:line="266" w:lineRule="exact"/>
              <w:jc w:val="center"/>
              <w:rPr>
                <w:rFonts w:ascii="宋体" w:hAnsi="宋体"/>
              </w:rPr>
            </w:pPr>
            <w:r>
              <w:rPr>
                <w:rFonts w:ascii="宋体" w:hAnsi="宋体" w:hint="eastAsia"/>
              </w:rPr>
              <w:t>储</w:t>
            </w:r>
          </w:p>
          <w:p w:rsidR="00391728" w:rsidRDefault="00391728"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391728" w:rsidRDefault="00391728" w:rsidP="0090435F">
            <w:pPr>
              <w:spacing w:line="266" w:lineRule="exact"/>
              <w:rPr>
                <w:rFonts w:ascii="宋体" w:hAnsi="宋体"/>
                <w:szCs w:val="18"/>
              </w:rPr>
            </w:pPr>
            <w:r>
              <w:rPr>
                <w:rFonts w:ascii="宋体" w:hAnsi="宋体" w:hint="eastAsia"/>
                <w:szCs w:val="18"/>
              </w:rPr>
              <w:t>储存于阴凉、通风的库房。远离火种、热源。库温不宜超过20℃。包装要求密封，不可与空气接触。应与氧化剂、酸类分开存放，切忌混储。采用防爆型照明、通风设施。禁止使用易产生火花的机械设备和工具。储区应备有泄漏应急处理设备和合适的收容材料。</w:t>
            </w:r>
          </w:p>
          <w:p w:rsidR="00391728" w:rsidRDefault="00391728"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28"/>
    <w:rsid w:val="0039172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38E9C-37D1-4423-BA39-525876FC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9172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172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Company>zyhq</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